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AE" w:rsidRDefault="001351AE" w:rsidP="001351AE">
      <w:pPr>
        <w:spacing w:line="240" w:lineRule="auto"/>
        <w:ind w:left="0"/>
        <w:rPr>
          <w:rFonts w:ascii="Papyrus" w:hAnsi="Papyrus"/>
          <w:sz w:val="36"/>
          <w:szCs w:val="36"/>
        </w:rPr>
      </w:pPr>
      <w:r w:rsidRPr="00624BD0">
        <w:rPr>
          <w:b/>
          <w:noProof/>
          <w:sz w:val="72"/>
          <w:szCs w:val="72"/>
        </w:rPr>
        <w:drawing>
          <wp:anchor distT="0" distB="0" distL="114300" distR="114300" simplePos="0" relativeHeight="251659264" behindDoc="0" locked="0" layoutInCell="1" allowOverlap="1" wp14:anchorId="2E2E260B" wp14:editId="3B762D51">
            <wp:simplePos x="0" y="0"/>
            <wp:positionH relativeFrom="column">
              <wp:posOffset>2562225</wp:posOffset>
            </wp:positionH>
            <wp:positionV relativeFrom="paragraph">
              <wp:posOffset>-7620</wp:posOffset>
            </wp:positionV>
            <wp:extent cx="1752600" cy="947278"/>
            <wp:effectExtent l="0" t="57150" r="0" b="3486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logo.jpg"/>
                    <pic:cNvPicPr/>
                  </pic:nvPicPr>
                  <pic:blipFill>
                    <a:blip r:embed="rId5">
                      <a:extLst>
                        <a:ext uri="{28A0092B-C50C-407E-A947-70E740481C1C}">
                          <a14:useLocalDpi xmlns:a14="http://schemas.microsoft.com/office/drawing/2010/main" val="0"/>
                        </a:ext>
                      </a:extLst>
                    </a:blip>
                    <a:stretch>
                      <a:fillRect/>
                    </a:stretch>
                  </pic:blipFill>
                  <pic:spPr>
                    <a:xfrm>
                      <a:off x="0" y="0"/>
                      <a:ext cx="1752600" cy="947278"/>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Pr="00624BD0">
        <w:rPr>
          <w:rFonts w:ascii="Papyrus" w:hAnsi="Papyrus"/>
          <w:b/>
          <w:sz w:val="72"/>
          <w:szCs w:val="72"/>
        </w:rPr>
        <w:t>Daybreak</w:t>
      </w:r>
      <w:r>
        <w:rPr>
          <w:rFonts w:ascii="Papyrus" w:hAnsi="Papyrus"/>
          <w:b/>
          <w:sz w:val="72"/>
          <w:szCs w:val="72"/>
        </w:rPr>
        <w:tab/>
      </w:r>
      <w:r>
        <w:rPr>
          <w:rFonts w:ascii="Papyrus" w:hAnsi="Papyrus"/>
          <w:b/>
          <w:sz w:val="72"/>
          <w:szCs w:val="72"/>
        </w:rPr>
        <w:tab/>
      </w:r>
      <w:r>
        <w:rPr>
          <w:rFonts w:ascii="Papyrus" w:hAnsi="Papyrus"/>
          <w:b/>
          <w:sz w:val="72"/>
          <w:szCs w:val="72"/>
        </w:rPr>
        <w:tab/>
      </w:r>
      <w:r>
        <w:rPr>
          <w:rFonts w:ascii="Papyrus" w:hAnsi="Papyrus"/>
          <w:b/>
          <w:sz w:val="72"/>
          <w:szCs w:val="72"/>
        </w:rPr>
        <w:tab/>
      </w:r>
      <w:r>
        <w:rPr>
          <w:rFonts w:ascii="Papyrus" w:hAnsi="Papyrus"/>
          <w:b/>
          <w:sz w:val="72"/>
          <w:szCs w:val="72"/>
        </w:rPr>
        <w:tab/>
      </w:r>
      <w:r>
        <w:rPr>
          <w:rFonts w:ascii="Papyrus" w:hAnsi="Papyrus"/>
          <w:b/>
          <w:sz w:val="72"/>
          <w:szCs w:val="72"/>
        </w:rPr>
        <w:tab/>
      </w:r>
      <w:r w:rsidRPr="00122C2E">
        <w:rPr>
          <w:rFonts w:ascii="Papyrus" w:hAnsi="Papyrus"/>
          <w:sz w:val="36"/>
          <w:szCs w:val="36"/>
        </w:rPr>
        <w:t xml:space="preserve"> Counseling Services</w:t>
      </w:r>
    </w:p>
    <w:p w:rsidR="001351AE" w:rsidRDefault="001351AE" w:rsidP="001351AE">
      <w:pPr>
        <w:spacing w:line="240" w:lineRule="auto"/>
        <w:ind w:left="0"/>
        <w:rPr>
          <w:rFonts w:ascii="Papyrus" w:hAnsi="Papyrus"/>
          <w:sz w:val="22"/>
        </w:rPr>
      </w:pPr>
      <w:r>
        <w:rPr>
          <w:rFonts w:ascii="Papyrus" w:hAnsi="Papyrus"/>
          <w:sz w:val="22"/>
        </w:rPr>
        <w:tab/>
        <w:t>54 South State St.</w:t>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t>(302)632-8842/ (302)422-7021</w:t>
      </w:r>
    </w:p>
    <w:p w:rsidR="001351AE" w:rsidRPr="00122C2E" w:rsidRDefault="001351AE" w:rsidP="001351AE">
      <w:pPr>
        <w:spacing w:line="240" w:lineRule="auto"/>
        <w:ind w:left="0"/>
        <w:rPr>
          <w:rFonts w:ascii="Papyrus" w:hAnsi="Papyrus"/>
          <w:b/>
          <w:sz w:val="22"/>
        </w:rPr>
      </w:pPr>
      <w:r>
        <w:rPr>
          <w:rFonts w:ascii="Papyrus" w:hAnsi="Papyrus"/>
          <w:sz w:val="22"/>
        </w:rPr>
        <w:tab/>
        <w:t>Dover, DE 19901</w:t>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r>
      <w:r>
        <w:rPr>
          <w:rFonts w:ascii="Papyrus" w:hAnsi="Papyrus"/>
          <w:sz w:val="22"/>
        </w:rPr>
        <w:tab/>
        <w:t xml:space="preserve">             Fax (302)422-3360</w:t>
      </w:r>
      <w:r>
        <w:rPr>
          <w:rFonts w:ascii="Papyrus" w:hAnsi="Papyrus"/>
          <w:sz w:val="22"/>
        </w:rPr>
        <w:tab/>
      </w:r>
    </w:p>
    <w:p w:rsidR="006D6072" w:rsidRDefault="006D6072" w:rsidP="001351AE">
      <w:pPr>
        <w:spacing w:line="240" w:lineRule="auto"/>
        <w:ind w:left="0"/>
        <w:jc w:val="center"/>
        <w:rPr>
          <w:rFonts w:asciiTheme="majorHAnsi" w:hAnsiTheme="majorHAnsi" w:cstheme="majorHAnsi"/>
          <w:b/>
          <w:sz w:val="28"/>
          <w:szCs w:val="28"/>
          <w:u w:val="single"/>
        </w:rPr>
      </w:pPr>
    </w:p>
    <w:p w:rsidR="006D6072" w:rsidRDefault="006D6072" w:rsidP="001351AE">
      <w:pPr>
        <w:spacing w:line="240" w:lineRule="auto"/>
        <w:ind w:left="0"/>
        <w:jc w:val="center"/>
        <w:rPr>
          <w:rFonts w:asciiTheme="majorHAnsi" w:hAnsiTheme="majorHAnsi" w:cstheme="majorHAnsi"/>
          <w:b/>
          <w:sz w:val="28"/>
          <w:szCs w:val="28"/>
          <w:u w:val="single"/>
        </w:rPr>
      </w:pPr>
    </w:p>
    <w:p w:rsidR="006D6072" w:rsidRDefault="006D6072" w:rsidP="001351AE">
      <w:pPr>
        <w:spacing w:line="240" w:lineRule="auto"/>
        <w:ind w:left="0"/>
        <w:jc w:val="center"/>
        <w:rPr>
          <w:rFonts w:asciiTheme="majorHAnsi" w:hAnsiTheme="majorHAnsi" w:cstheme="majorHAnsi"/>
          <w:b/>
          <w:sz w:val="28"/>
          <w:szCs w:val="28"/>
          <w:u w:val="single"/>
        </w:rPr>
      </w:pPr>
    </w:p>
    <w:p w:rsidR="003F577E" w:rsidRDefault="001351AE" w:rsidP="001351AE">
      <w:pPr>
        <w:spacing w:line="240" w:lineRule="auto"/>
        <w:ind w:left="0"/>
        <w:jc w:val="center"/>
        <w:rPr>
          <w:rFonts w:asciiTheme="majorHAnsi" w:hAnsiTheme="majorHAnsi" w:cstheme="majorHAnsi"/>
          <w:b/>
          <w:sz w:val="28"/>
          <w:szCs w:val="28"/>
          <w:u w:val="single"/>
        </w:rPr>
      </w:pPr>
      <w:r w:rsidRPr="001351AE">
        <w:rPr>
          <w:rFonts w:asciiTheme="majorHAnsi" w:hAnsiTheme="majorHAnsi" w:cstheme="majorHAnsi"/>
          <w:b/>
          <w:sz w:val="28"/>
          <w:szCs w:val="28"/>
          <w:u w:val="single"/>
        </w:rPr>
        <w:t>Confidentiality Agreement</w:t>
      </w:r>
    </w:p>
    <w:p w:rsidR="001351AE" w:rsidRDefault="001351AE" w:rsidP="001351AE">
      <w:pPr>
        <w:spacing w:line="240" w:lineRule="auto"/>
        <w:ind w:left="0"/>
        <w:jc w:val="center"/>
        <w:rPr>
          <w:rFonts w:asciiTheme="majorHAnsi" w:hAnsiTheme="majorHAnsi" w:cstheme="majorHAnsi"/>
          <w:sz w:val="28"/>
          <w:szCs w:val="28"/>
        </w:rPr>
      </w:pPr>
    </w:p>
    <w:p w:rsidR="001351AE" w:rsidRDefault="001351AE" w:rsidP="00A81012">
      <w:pPr>
        <w:spacing w:after="240" w:line="240" w:lineRule="auto"/>
        <w:ind w:left="0"/>
        <w:rPr>
          <w:rFonts w:asciiTheme="majorHAnsi" w:hAnsiTheme="majorHAnsi" w:cstheme="majorHAnsi"/>
          <w:sz w:val="28"/>
          <w:szCs w:val="28"/>
        </w:rPr>
      </w:pPr>
      <w:r>
        <w:rPr>
          <w:rFonts w:asciiTheme="majorHAnsi" w:hAnsiTheme="majorHAnsi" w:cstheme="majorHAnsi"/>
          <w:sz w:val="28"/>
          <w:szCs w:val="28"/>
        </w:rPr>
        <w:t>A major component in any counseling relationship is confidentiality between the client and the counselor.  Whatever is said during a counseling session is held in strict confidence by the counselor.  There are certain circumstances in which confidentiality may be broken</w:t>
      </w:r>
      <w:r w:rsidR="00A81012">
        <w:rPr>
          <w:rFonts w:asciiTheme="majorHAnsi" w:hAnsiTheme="majorHAnsi" w:cstheme="majorHAnsi"/>
          <w:sz w:val="28"/>
          <w:szCs w:val="28"/>
        </w:rPr>
        <w:t>.  For the client’s knowledge, the exceptions to confidentiality are:</w:t>
      </w:r>
    </w:p>
    <w:p w:rsidR="00A81012" w:rsidRDefault="00A81012" w:rsidP="00A81012">
      <w:pPr>
        <w:pStyle w:val="ListParagraph"/>
        <w:numPr>
          <w:ilvl w:val="0"/>
          <w:numId w:val="1"/>
        </w:numPr>
        <w:spacing w:after="240" w:line="240" w:lineRule="auto"/>
        <w:rPr>
          <w:rFonts w:asciiTheme="majorHAnsi" w:hAnsiTheme="majorHAnsi" w:cstheme="majorHAnsi"/>
          <w:sz w:val="28"/>
          <w:szCs w:val="28"/>
        </w:rPr>
      </w:pPr>
      <w:r>
        <w:rPr>
          <w:rFonts w:asciiTheme="majorHAnsi" w:hAnsiTheme="majorHAnsi" w:cstheme="majorHAnsi"/>
          <w:b/>
          <w:sz w:val="28"/>
          <w:szCs w:val="28"/>
        </w:rPr>
        <w:t xml:space="preserve">Release of information form: </w:t>
      </w:r>
      <w:r>
        <w:rPr>
          <w:rFonts w:asciiTheme="majorHAnsi" w:hAnsiTheme="majorHAnsi" w:cstheme="majorHAnsi"/>
          <w:sz w:val="28"/>
          <w:szCs w:val="28"/>
        </w:rPr>
        <w:t>If the client has been referred to counseling by another professional (i.e., clergy) and wishes the referral source to remain in touch with the counseling proceedings, the counselor can converse with the referral source through use of this form.</w:t>
      </w:r>
    </w:p>
    <w:p w:rsidR="00A81012" w:rsidRDefault="00A81012" w:rsidP="00A81012">
      <w:pPr>
        <w:pStyle w:val="ListParagraph"/>
        <w:numPr>
          <w:ilvl w:val="0"/>
          <w:numId w:val="1"/>
        </w:numPr>
        <w:spacing w:after="240" w:line="240" w:lineRule="auto"/>
        <w:rPr>
          <w:rFonts w:asciiTheme="majorHAnsi" w:hAnsiTheme="majorHAnsi" w:cstheme="majorHAnsi"/>
          <w:sz w:val="28"/>
          <w:szCs w:val="28"/>
        </w:rPr>
      </w:pPr>
      <w:r>
        <w:rPr>
          <w:rFonts w:asciiTheme="majorHAnsi" w:hAnsiTheme="majorHAnsi" w:cstheme="majorHAnsi"/>
          <w:b/>
          <w:sz w:val="28"/>
          <w:szCs w:val="28"/>
        </w:rPr>
        <w:t xml:space="preserve">Abuse of a child, elderly person, or person physically or mentally impaired.  </w:t>
      </w:r>
      <w:r>
        <w:rPr>
          <w:rFonts w:asciiTheme="majorHAnsi" w:hAnsiTheme="majorHAnsi" w:cstheme="majorHAnsi"/>
          <w:sz w:val="28"/>
          <w:szCs w:val="28"/>
        </w:rPr>
        <w:t>If the counselor becomes aware of or suspects such violations, he/she must report this information to the authorities.</w:t>
      </w:r>
    </w:p>
    <w:p w:rsidR="00A81012" w:rsidRDefault="00A81012" w:rsidP="00A81012">
      <w:pPr>
        <w:pStyle w:val="ListParagraph"/>
        <w:numPr>
          <w:ilvl w:val="0"/>
          <w:numId w:val="1"/>
        </w:numPr>
        <w:spacing w:after="240" w:line="240" w:lineRule="auto"/>
        <w:rPr>
          <w:rFonts w:asciiTheme="majorHAnsi" w:hAnsiTheme="majorHAnsi" w:cstheme="majorHAnsi"/>
          <w:sz w:val="28"/>
          <w:szCs w:val="28"/>
        </w:rPr>
      </w:pPr>
      <w:r>
        <w:rPr>
          <w:rFonts w:asciiTheme="majorHAnsi" w:hAnsiTheme="majorHAnsi" w:cstheme="majorHAnsi"/>
          <w:b/>
          <w:sz w:val="28"/>
          <w:szCs w:val="28"/>
        </w:rPr>
        <w:t xml:space="preserve">Plan to hurt someone else. </w:t>
      </w:r>
      <w:r>
        <w:rPr>
          <w:rFonts w:asciiTheme="majorHAnsi" w:hAnsiTheme="majorHAnsi" w:cstheme="majorHAnsi"/>
          <w:sz w:val="28"/>
          <w:szCs w:val="28"/>
        </w:rPr>
        <w:t xml:space="preserve"> If there is such contemplation to hurt someone else, it is the counselor’s “duty to warn” the intended victim, as well as the authorities.</w:t>
      </w:r>
    </w:p>
    <w:p w:rsidR="00A81012" w:rsidRDefault="00A81012" w:rsidP="00A81012">
      <w:pPr>
        <w:pStyle w:val="ListParagraph"/>
        <w:numPr>
          <w:ilvl w:val="0"/>
          <w:numId w:val="1"/>
        </w:numPr>
        <w:spacing w:after="240" w:line="240" w:lineRule="auto"/>
        <w:rPr>
          <w:rFonts w:asciiTheme="majorHAnsi" w:hAnsiTheme="majorHAnsi" w:cstheme="majorHAnsi"/>
          <w:sz w:val="28"/>
          <w:szCs w:val="28"/>
        </w:rPr>
      </w:pPr>
      <w:r>
        <w:rPr>
          <w:rFonts w:asciiTheme="majorHAnsi" w:hAnsiTheme="majorHAnsi" w:cstheme="majorHAnsi"/>
          <w:b/>
          <w:sz w:val="28"/>
          <w:szCs w:val="28"/>
        </w:rPr>
        <w:t>Plan to hurt self.</w:t>
      </w:r>
      <w:r>
        <w:rPr>
          <w:rFonts w:asciiTheme="majorHAnsi" w:hAnsiTheme="majorHAnsi" w:cstheme="majorHAnsi"/>
          <w:sz w:val="28"/>
          <w:szCs w:val="28"/>
        </w:rPr>
        <w:t xml:space="preserve">  If there is such contemplation to hurt self, counselor will inform family member and state agency.</w:t>
      </w:r>
    </w:p>
    <w:p w:rsidR="00A81012" w:rsidRDefault="00A81012" w:rsidP="00A81012">
      <w:pPr>
        <w:pStyle w:val="ListParagraph"/>
        <w:numPr>
          <w:ilvl w:val="0"/>
          <w:numId w:val="1"/>
        </w:numPr>
        <w:spacing w:after="240" w:line="240" w:lineRule="auto"/>
        <w:rPr>
          <w:rFonts w:asciiTheme="majorHAnsi" w:hAnsiTheme="majorHAnsi" w:cstheme="majorHAnsi"/>
          <w:sz w:val="28"/>
          <w:szCs w:val="28"/>
        </w:rPr>
      </w:pPr>
      <w:r>
        <w:rPr>
          <w:rFonts w:asciiTheme="majorHAnsi" w:hAnsiTheme="majorHAnsi" w:cstheme="majorHAnsi"/>
          <w:b/>
          <w:sz w:val="28"/>
          <w:szCs w:val="28"/>
        </w:rPr>
        <w:t xml:space="preserve">Clinical supervision.  </w:t>
      </w:r>
      <w:r>
        <w:rPr>
          <w:rFonts w:asciiTheme="majorHAnsi" w:hAnsiTheme="majorHAnsi" w:cstheme="majorHAnsi"/>
          <w:sz w:val="28"/>
          <w:szCs w:val="28"/>
        </w:rPr>
        <w:t>If the counselor has clinical questions regarding case he/she has the ethical obligation to discuss aspects of case with clinical supervisor.</w:t>
      </w:r>
    </w:p>
    <w:p w:rsidR="006D6072" w:rsidRDefault="006D6072" w:rsidP="00A81012">
      <w:pPr>
        <w:pStyle w:val="ListParagraph"/>
        <w:numPr>
          <w:ilvl w:val="0"/>
          <w:numId w:val="1"/>
        </w:numPr>
        <w:spacing w:after="240" w:line="240" w:lineRule="auto"/>
        <w:rPr>
          <w:rFonts w:asciiTheme="majorHAnsi" w:hAnsiTheme="majorHAnsi" w:cstheme="majorHAnsi"/>
          <w:sz w:val="28"/>
          <w:szCs w:val="28"/>
        </w:rPr>
      </w:pPr>
      <w:r>
        <w:rPr>
          <w:rFonts w:asciiTheme="majorHAnsi" w:hAnsiTheme="majorHAnsi" w:cstheme="majorHAnsi"/>
          <w:b/>
          <w:sz w:val="28"/>
          <w:szCs w:val="28"/>
        </w:rPr>
        <w:t>Court subpoena.</w:t>
      </w:r>
      <w:r>
        <w:rPr>
          <w:rFonts w:asciiTheme="majorHAnsi" w:hAnsiTheme="majorHAnsi" w:cstheme="majorHAnsi"/>
          <w:sz w:val="28"/>
          <w:szCs w:val="28"/>
        </w:rPr>
        <w:t xml:space="preserve">  If client is involved with the court, counselor may be directed to release portion of records, as mandated through court officials.</w:t>
      </w:r>
    </w:p>
    <w:p w:rsidR="006D6072" w:rsidRDefault="006D6072" w:rsidP="006D6072">
      <w:pPr>
        <w:spacing w:after="240" w:line="240" w:lineRule="auto"/>
        <w:rPr>
          <w:rFonts w:asciiTheme="majorHAnsi" w:hAnsiTheme="majorHAnsi" w:cstheme="majorHAnsi"/>
          <w:sz w:val="28"/>
          <w:szCs w:val="28"/>
        </w:rPr>
      </w:pPr>
    </w:p>
    <w:p w:rsidR="006D6072" w:rsidRDefault="006D6072" w:rsidP="006D6072">
      <w:pPr>
        <w:spacing w:after="240" w:line="240" w:lineRule="auto"/>
        <w:rPr>
          <w:rFonts w:asciiTheme="majorHAnsi" w:hAnsiTheme="majorHAnsi" w:cstheme="majorHAnsi"/>
          <w:sz w:val="28"/>
          <w:szCs w:val="28"/>
        </w:rPr>
      </w:pPr>
    </w:p>
    <w:p w:rsidR="006D6072" w:rsidRDefault="006D6072" w:rsidP="006D6072">
      <w:pPr>
        <w:spacing w:line="240" w:lineRule="auto"/>
        <w:ind w:left="0"/>
        <w:jc w:val="right"/>
        <w:rPr>
          <w:rFonts w:asciiTheme="majorHAnsi" w:hAnsiTheme="majorHAnsi" w:cstheme="majorHAnsi"/>
          <w:sz w:val="28"/>
          <w:szCs w:val="28"/>
        </w:rPr>
      </w:pPr>
      <w:r>
        <w:rPr>
          <w:rFonts w:asciiTheme="majorHAnsi" w:hAnsiTheme="majorHAnsi" w:cstheme="majorHAnsi"/>
          <w:sz w:val="28"/>
          <w:szCs w:val="28"/>
        </w:rPr>
        <w:t>__________                   ___________</w:t>
      </w:r>
    </w:p>
    <w:p w:rsidR="006D6072" w:rsidRDefault="006D6072" w:rsidP="006D6072">
      <w:pPr>
        <w:spacing w:line="240" w:lineRule="auto"/>
        <w:ind w:left="0"/>
        <w:jc w:val="right"/>
        <w:rPr>
          <w:rFonts w:asciiTheme="majorHAnsi" w:hAnsiTheme="majorHAnsi" w:cstheme="majorHAnsi"/>
          <w:sz w:val="28"/>
          <w:szCs w:val="28"/>
        </w:rPr>
      </w:pPr>
      <w:r>
        <w:rPr>
          <w:rFonts w:asciiTheme="majorHAnsi" w:hAnsiTheme="majorHAnsi" w:cstheme="majorHAnsi"/>
          <w:sz w:val="28"/>
          <w:szCs w:val="28"/>
        </w:rPr>
        <w:t>Initial</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 xml:space="preserve">       Initial</w:t>
      </w:r>
    </w:p>
    <w:p w:rsidR="006D6072" w:rsidRDefault="006D6072" w:rsidP="006D6072">
      <w:pPr>
        <w:spacing w:after="240" w:line="240" w:lineRule="auto"/>
        <w:ind w:left="0"/>
        <w:rPr>
          <w:rFonts w:asciiTheme="majorHAnsi" w:hAnsiTheme="majorHAnsi" w:cstheme="majorHAnsi"/>
          <w:sz w:val="28"/>
          <w:szCs w:val="28"/>
        </w:rPr>
      </w:pPr>
    </w:p>
    <w:p w:rsidR="008A1E79" w:rsidRDefault="008A1E79" w:rsidP="006D6072">
      <w:pPr>
        <w:spacing w:after="240" w:line="240" w:lineRule="auto"/>
        <w:ind w:left="0"/>
        <w:rPr>
          <w:rFonts w:asciiTheme="majorHAnsi" w:hAnsiTheme="majorHAnsi" w:cstheme="majorHAnsi"/>
          <w:sz w:val="28"/>
          <w:szCs w:val="28"/>
        </w:rPr>
      </w:pPr>
    </w:p>
    <w:p w:rsidR="00A81012" w:rsidRPr="001351AE" w:rsidRDefault="008A1E79" w:rsidP="001351AE">
      <w:pPr>
        <w:spacing w:line="240" w:lineRule="auto"/>
        <w:ind w:left="0"/>
        <w:rPr>
          <w:rFonts w:asciiTheme="majorHAnsi" w:hAnsiTheme="majorHAnsi" w:cstheme="majorHAnsi"/>
          <w:sz w:val="28"/>
          <w:szCs w:val="28"/>
        </w:rPr>
      </w:pPr>
      <w:r>
        <w:rPr>
          <w:rFonts w:asciiTheme="majorHAnsi" w:hAnsiTheme="majorHAnsi" w:cstheme="majorHAnsi"/>
          <w:sz w:val="28"/>
          <w:szCs w:val="28"/>
        </w:rPr>
        <w:t>2/14/17</w:t>
      </w:r>
      <w:bookmarkStart w:id="0" w:name="_GoBack"/>
      <w:bookmarkEnd w:id="0"/>
    </w:p>
    <w:sectPr w:rsidR="00A81012" w:rsidRPr="001351AE" w:rsidSect="001351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80C71"/>
    <w:multiLevelType w:val="hybridMultilevel"/>
    <w:tmpl w:val="1AC42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AE"/>
    <w:rsid w:val="00026F4E"/>
    <w:rsid w:val="001351AE"/>
    <w:rsid w:val="001855E0"/>
    <w:rsid w:val="005C08E5"/>
    <w:rsid w:val="006D6072"/>
    <w:rsid w:val="007D7C98"/>
    <w:rsid w:val="008A1E79"/>
    <w:rsid w:val="00A504FA"/>
    <w:rsid w:val="00A81012"/>
    <w:rsid w:val="00BE25BF"/>
    <w:rsid w:val="00EF04CA"/>
    <w:rsid w:val="00FA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094AA-6519-49F8-B840-B3DF7B2D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1A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Katzmire</dc:creator>
  <cp:keywords/>
  <dc:description/>
  <cp:lastModifiedBy>Susan Katzmire</cp:lastModifiedBy>
  <cp:revision>2</cp:revision>
  <dcterms:created xsi:type="dcterms:W3CDTF">2017-02-14T19:45:00Z</dcterms:created>
  <dcterms:modified xsi:type="dcterms:W3CDTF">2017-02-14T20:10:00Z</dcterms:modified>
</cp:coreProperties>
</file>